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deux modèles d'insectes nuisibles coloniaux des milieux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Elbah; Djamila/ Ouakid, Med laid/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 xml:space="preserve"> 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blattella germanica/ drosophila melanogaster/ insectes nuisibles/ </w:t>
            </w:r>
          </w:p>
        </w:tc>
      </w:tr>
    </w:tbl>
    <w:p>
      <w:pPr>
        <w:pStyle w:val="Heading3"/>
      </w:pPr>
      <w:r>
        <w:t>Résumé :</w:t>
      </w:r>
    </w:p>
    <w:p>
      <w:r>
        <w:t xml:space="preserve">Les invasions biologiques ou proliférations de nuisibles, de plus en plus fréquentes, sont l'une des premières causes de perte de biodiversité, la source de pertes économiques importantes et dans certains cas entrainent des retentissements sanitaires. Face aux problèmes de résistance et de toxicité des produits chimiques largement utilisés jusqu'ici, les pouvoirs publics se penchent de plus en plus sur les méthodes dites "biologiques" pour y remédier. Les composés naturels issus des produits végétaux et résultants du métabolisme secondaires sont des meilleurs alternatifs. Récemment, des nouvelles recherches s'appuient sur la compréhension de l'effet des faibles quantités d'insecticide sur les fonctions physiologiques des organismes "nuisibles" comme l'olfaction, à la base de nombreux comportements vitaux.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