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de défense observées chez le blé comme réponse à l'induction d'un stress oxydatif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Yaiche; Fatma/ Sbartai, Hana/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triticum durum desf/ pyrenophora tritici repentis/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plante, comme tout organisme vivant, est influencée durant toute sa vie par les conditions climatiques et non climatiques du milieu. Ces conditions, vont lui assurer soit un environnement favorable à la croissance et au développement, soit la soumettre à des facteurs de stress abiotiques ou biotiques qui vont perturber son métabolisme.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