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Stratégies de défense observées chez le blé comme réponse à l'induction d'un stress oxydatif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Yaiche; Fatma/ Sbartai, Hana/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triticum durum desf/ pyrenophora tritici repentis/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plante, comme tout organisme vivant, est influencée durant toute sa vie par les conditions climatiques et non climatiques du milieu. Ces conditions, vont lui assurer soit un environnement favorable à la croissance et au développement, soit la soumettre à des facteurs de stress abiotiques ou biotiques qui vont perturber son métabolisme.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