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mycorhizes  de l'olivier (Olea europaea L.) Aspects écologiques, effet sur la croissance et exploitation en pépinière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Hamza; Amel/ Chekchaki ,Samir/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champignons mycorhiziens à arbuscule/ stress abiotique/ efficience/ </w:t>
            </w:r>
          </w:p>
        </w:tc>
      </w:tr>
    </w:tbl>
    <w:p>
      <w:pPr>
        <w:pStyle w:val="Heading3"/>
      </w:pPr>
      <w:r>
        <w:t>Résumé :</w:t>
      </w:r>
    </w:p>
    <w:p>
      <w:r>
        <w:t>Une prospection de l'état mycorhizien  de l'olivier dans une région représentative des plantations oléicoles au Nord-est d'Algérie et dans des stations oléicoles aux conditions bioclimatiques différentes, passant d'un climat humide au Nord vers un climat saharien sec au Sud, a été effectuée. Ce tour d'horizon a permis de préciser le statut mycorhizien de l'olivier et d'envisager des possibilités éventuelles d'application de la mycorhization contrôlée.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