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d’un colorant azoïque en phase aqueuse par les procédés Fenton, électro- Fenton et sono- électro- Fenton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Lounis; Manel/ Samar, Mohamed Elhadi/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procédés d’oxydation avancés/ procédé fenton/ procédé électro fenton/ </w:t>
            </w:r>
          </w:p>
        </w:tc>
      </w:tr>
    </w:tbl>
    <w:p>
      <w:pPr>
        <w:pStyle w:val="Heading3"/>
      </w:pPr>
      <w:r>
        <w:t>Résumé :</w:t>
      </w:r>
    </w:p>
    <w:p>
      <w:r>
        <w:t>La production des colorants et leur utilisation génère des effluents persistants, bioréfractaires non biodégradables, fortement colorés, toxiques, carcinogènes et mutagènes. Les techniques traditionnelles du traitement de ces effluents qu’elles soient physico-chimiques ou biologiques sont inefficaces en raison de la grande part des noyaux aromatiques présents dans les molécules des colorants et la stabilité des colorants modernes, elles demeurent non-destructives et transfert la pollution aquatique à une autre phase provoquant une pollution secondaire.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