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d’un colorant azoïque en phase aqueuse par les procédés Fenton, électro- Fenton et sono- électro- Fenton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Lounis; Manel/ Samar, Mohamed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d’oxydation avancés/ procédé fenton/ procédé électro fenton/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des colorants et leur utilisation génère des effluents persistants, bioréfractaires non biodégradables, fortement colorés, toxiques, carcinogènes et mutagènes. Les techniques traditionnelles du traitement de ces effluents qu’elles soient physico-chimiques ou biologiques sont inefficaces en raison de la grande part des noyaux aromatiques présents dans les molécules des colorants et la stabilité des colorants modernes, elles demeurent non-destructives et transfert la pollution aquatique à une autre phase provoquant une pollution secondaire.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