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memetique pour resoudre le probleme d' affectation de frequences en en réseau mobile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Tounsi; Abdelkader/ Babes,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cellulaires/ radio cognitive/ problème d'allocation de fréquences/ </w:t>
            </w:r>
          </w:p>
        </w:tc>
      </w:tr>
    </w:tbl>
    <w:p>
      <w:pPr>
        <w:pStyle w:val="Heading3"/>
      </w:pPr>
      <w:r>
        <w:t>Résumé :</w:t>
      </w:r>
    </w:p>
    <w:p>
      <w:r>
        <w:t>La ressource radio est rare et coûteuse. Le nombre de canaux radio est forcément limité, face à un nombre d'utilisateurs toujours croissant. A cette forte utilisation et l'exigence de la qualité de service,poussent à s'intéresser à la bonne gestion de ces ressources.Ces travauxde thèse s'inscrivent dans les problématiques de partage spectraldans les réseaux mobile.     181981/17 181982/17 181983/17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