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d'une chaine de conversion d'énergie renouvelable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Bedoud; Khouloud/ Ali Rachedi, Mahieddine/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réseau de neurone/ eolienne/ gada/ commande adaptative/ </w:t>
            </w:r>
          </w:p>
        </w:tc>
      </w:tr>
    </w:tbl>
    <w:p>
      <w:pPr>
        <w:pStyle w:val="Heading3"/>
      </w:pPr>
      <w:r>
        <w:t>Résumé :</w:t>
      </w:r>
    </w:p>
    <w:p>
      <w:r>
        <w:t xml:space="preserve">L'épuisement imminent et incontesté des ressources fossiles a motivé les chercheurs à travers le monde à rechercher des solutions alternatives et innovantes palliant le déficit énergétique afin d'assurer l'équilibre en besoin énergétique, qui ne cesse de croitre, et limitant l'impact sur l'environnement. De ce constat, le développement des sources de production d'énergie non polluantes à base d'énergie renouvelable est de plus en plus sollicité et encouragé à la fois par les producteurs d'énergie électrique et les secteurs publics. Ainsi, c'est dans ce cadre que s'inscrit le travail présenté dans cette thèse.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