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et mise en évidence de polluants potentiels toxiques des eaux de lixiviation des mines d'oum teboul et d'azzaba sur la qualité des ressources en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Haouli; Zouina/ Kherici,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ressources en eaux/ résidus miniers/ </w:t>
            </w:r>
          </w:p>
        </w:tc>
      </w:tr>
    </w:tbl>
    <w:p>
      <w:pPr>
        <w:pStyle w:val="Heading3"/>
      </w:pPr>
      <w:r>
        <w:t>Résumé :</w:t>
      </w:r>
    </w:p>
    <w:p>
      <w:r>
        <w:t>Les impactes sur l'environnement causés par les mines abandonnées représentent un fléau mondial puisque peu politique exige la réhabilitation des sites. en effet, l'algérie devrait être à l'abri de ce drame, lorsque le propriétaire est introuvable ou non solvable, l'?tat hérite très souvent de ces sites et des problématiques reliées comprenant notamment la production de drainage minier acide ;ce dernier est une problématique réelle puisqu'elle rejette dans l'environnement et des caractérisées fortes acidités et une concentration élevées en métaux aux écosystèmes avoisinants. c'est le cas par exemple oued el-eurg, voisin du site minier d'oum teboul et oued fendek voisin du site minier d'azzaba.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