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asymétrique de composés organiques par catalyse et modélisation de la réactivité des réactions enzymatiques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Rachedi; Sofiane/ Djerourou, Abdelhafid/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synthèse asymétrique/ déchets alimentaires/ transfert asymétrique d'hydrure/ </w:t>
            </w:r>
          </w:p>
        </w:tc>
      </w:tr>
    </w:tbl>
    <w:p>
      <w:pPr>
        <w:pStyle w:val="Heading3"/>
      </w:pPr>
      <w:r>
        <w:t>Résumé :</w:t>
      </w:r>
    </w:p>
    <w:p>
      <w:r>
        <w:t xml:space="preserve">L'utilisation des molécules sous forme optiquement pures est devenue une nécessité d'extrême importance dans tous les domaines tels que l'agroalimentaire (aromes, additifs), l'agronomie (pesticides) et particulièrement le domaine pharmaceutique (médicaments). Dans ce travail de thèse, nous nous sommes intéressés à la réaction de réduction asymétrique de diverses cétones aliphatiques et aromatiques par transfert asymétrique d'hydrure avec des enzymes.Nous avons mis au point deux procédés pour la réduction asymétrique.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