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Riposte biochimique et neurophysiologique suite à un stress sonore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Badache; Soumeya/ Bairi, Abdel Madjid/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,anglais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stress prénatal/ sonore/ stress multiple/ </w:t>
            </w:r>
          </w:p>
        </w:tc>
      </w:tr>
    </w:tbl>
    <w:p>
      <w:pPr>
        <w:pStyle w:val="Heading3"/>
      </w:pPr>
      <w:r>
        <w:t>Résumé :</w:t>
      </w:r>
    </w:p>
    <w:p>
      <w:r>
        <w:t>Dans ce travail, nous avons recherché les effets d'une application individuelle ou combinée du stress sonore et du stress de contention sur le contrôle de l'équilibre, l'exploration, la locomotion, les performances olfactive et le comportement anxieux du rat juvénile. nous avons également évalué l'effet de ces trois types de stress sur la glycémie, le profil lipidique et les enzymes hépatiques. les cellules immunes circulantes et l'expression centrale des récepteurs à interleukine 2 (il2r) ont été évaluées dans le but d'établir la relation entre les altérations comportementales et le système immunitaire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