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biosystématique des coléoptères carabiques du parc national d’ El Kala et de la région de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Nadia/ Doumandji, Salah Eddine/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carabidae/ coléoptères carabiques/ milieu humide/ </w:t>
            </w:r>
          </w:p>
        </w:tc>
      </w:tr>
    </w:tbl>
    <w:p>
      <w:pPr>
        <w:pStyle w:val="Heading3"/>
      </w:pPr>
      <w:r>
        <w:t>Résumé :</w:t>
      </w:r>
    </w:p>
    <w:p>
      <w:r>
        <w:t>Les communautés de coléoptères carabiques sont étudiées dans le P.N.E.K et la région de Tébessa situés dans deux étages bioclimatiques différents : méditerranéen humide et méditerranéen semi-aride. Des 102 espèces inventoriées une grande majorité appartiennent à la sous famille des Harpalinae (75 espèces). Des méthodes statistiques ressort que beaucoup de milieux sont diversifiés, bien structurés et équilibrés. La dynamique des communautés permet de mettre en évidence l’influence du climat sur le milieu abiotique et sur la composition de la faune et de son organisation. Une étude comparative par diverses méthodes montre que l’assemblage des espèces est influencé par l’humidité, la nature du substrat et à un degré moindre par l’altitude.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