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résolution cinétique de molécules d'intérêt pharmacologique par alcoolyse et aminolyse enzymatiques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Bounouala; Amna/ Aribi zouioueche, Louisa/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lipase/ dédoublement cinétique énantiosélectif/ cal b/ alcoolyse/ </w:t>
            </w:r>
          </w:p>
        </w:tc>
      </w:tr>
    </w:tbl>
    <w:p>
      <w:pPr>
        <w:pStyle w:val="Heading3"/>
      </w:pPr>
      <w:r>
        <w:t>Résumé :</w:t>
      </w:r>
    </w:p>
    <w:p>
      <w:r>
        <w:t>Le développement de méthodes durables, simples et efficaces pour la conception de molécules chirales est un impératif majeur de la chimie contemporaine. Une des méthodes les plus attrayantes pour accéder aux molécules énantiopures est le dédoublement cinétique avec les lipases comme biocatalyseurs puissants d'une chimie douce. Ces travaux développentla synthèse énantiosélective de briques moléculaires d'intérêt pharmacologique bien connus,les arylalkyl esters et les acides 2-arylpropioniques. Nous avons étudié quelques paramètres susceptibles de moduler la réactivité et la sélectivité des lipases lors des réactions de dédoublement cinétique.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