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 hydrodynamique des bassins d' aeration.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Kherfane; Wahida/ Hammar, yahia/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eau usée/ bassin d'aération/ station d'épuration/ modèle réduit/ </w:t>
            </w:r>
          </w:p>
        </w:tc>
      </w:tr>
    </w:tbl>
    <w:p>
      <w:pPr>
        <w:pStyle w:val="Heading3"/>
      </w:pPr>
      <w:r>
        <w:t>Résumé :</w:t>
      </w:r>
    </w:p>
    <w:p>
      <w:r>
        <w:t>La majorité des stations d'épuration réalisées à ce jour en Algérie sont par boues activées. Le bassin d'aération est l'élément majeur d'une station d'épuration à boue activée. Son fonctionnement conditionne la qualité eaux usées épurées. La bonne connaissance de l'hydrodynamique de ces bassins est un enjeu essentiel pour améliorer leur conception.</w:t>
        <w:br/>
        <w:br/>
        <w:t>Une conception rigoureuse du bassin d'aération, au travers les systèmes d'aération et de brassage, est donc primordiale. Le but de cette thèse est d'étudier le comportement hydrodynamique des bassins d'aération de trois stations d'épuration (Chelghoum Laid, Souk Ahras et Annaba). Ces stations diffèrent par la dimension et la géométrie de leurs bassins ainsi que par leurs systèmes d'aération. 181455/17 181456/17 181457/17 181458/17</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