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hydrogéologiques de la nappe superficielle dans la région de l'oued righ et évaluation de l'impact de la pollution et de la salinité sur la qualité de ses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Belksier; Mohamed salah/ Chaab, Salah/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vulnérabilité/ aquifères/ hydrochimie/ </w:t>
            </w:r>
          </w:p>
        </w:tc>
      </w:tr>
    </w:tbl>
    <w:p>
      <w:pPr>
        <w:pStyle w:val="Heading3"/>
      </w:pPr>
      <w:r>
        <w:t>Résumé :</w:t>
      </w:r>
    </w:p>
    <w:p>
      <w:r>
        <w:t>Dans  la région désertique de l'oued righ la demande en eau est importante et est influencée par la croissance démographique et le développement de l'agriculture. elle est satisfaite par l'exploitation intensive des nappes profondes du complexe terminal et du continent intercalaire. le surplus d'eau pompé a causé une remontée du niveau piézométrique de la nappe superficielle, inondant les oasis et les zones basses, surtout celles de meghaier et djamaa. malheureusement cette situation hydrodynamique  a influé sur la qualité des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