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Caractérisation géologique minéralogique et géochimique des argiles des formations du versant sud du massif des aurès conséquences paléogéographiques et intérêts commerciaux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Lamouri; Bachir/ Bouabsa, Lakhdar/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atlas saharien/ miocène/ eocène/ biskra/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a pour objectif  de  cartographier, de caractériser  et de définir les potentialités industrielles des argiles miocène à eocène de la région de biskra - atlas saharien algérie-. pour cela, une campagne d'échantillonnage à l'affleurement  a été effectuée à travers  ces formations. les échantillons récoltés ont été  préparés puis analysés par les différentes  méthodes d'analyse classiques à savoir par diffraction des rayons x (xrd), fluorescence x (xrf), spectroscopie infrarouge (ftir) et microscopie ?lectronique à balayage (meb).  les échantillons potentiels  ont fait l'objet d'analyses complémentaires par granulométrie laser, essais géotechniques, essais physicochimiques et essais de valorisation par adsorption du cuivre.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