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de spectroscopie optique des matériaux lasers solides dopés aux ions trivalents de terres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Bendjedaa; Faiza/ Diaf, Madjid/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Ytterbium/ fluorure de cadmium/ propriété spectroscopique/ erbium/ </w:t>
            </w:r>
          </w:p>
        </w:tc>
      </w:tr>
    </w:tbl>
    <w:p>
      <w:pPr>
        <w:pStyle w:val="Heading3"/>
      </w:pPr>
      <w:r>
        <w:t>Résumé :</w:t>
      </w:r>
    </w:p>
    <w:p>
      <w:r>
        <w:t xml:space="preserve">L'objectif du travail présenté dans le cadre de cette thèse est axé sur les propriétés spectroscopiques des matrices cristallines fluorures de type MF2 (M = Cd, Sr) dopés par des ions de terres rares. Les cristaux de fluorure de cadmium (CdF2) codopés par le fluorure d'Erbium (ErF3) et par le fluorure d'Ytterbium (YbF3) ont été élaborés en utilisant la méthode de Bridgman. Les monocristaux relatifs à la composition Cd0.7Sr0.3F2 du système pseudo-binaire CdF2- SrF2 ont été obtenus en utilisant la même technique, après purification des produits de départ. L'ensemble des échantillons sont d'une bonne qualité optique.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