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et reconnaissance automatiquedes cris et chants des oiseaux dans les zones humides Annaba 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Boulmaiz; Amira/ Messadeg, Djemil/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reconnaissance des sons d’oiseaux/ rcsf/ bruit d’environnement/ </w:t>
            </w:r>
          </w:p>
        </w:tc>
      </w:tr>
    </w:tbl>
    <w:p>
      <w:pPr>
        <w:pStyle w:val="Heading3"/>
      </w:pPr>
      <w:r>
        <w:t>Résumé :</w:t>
      </w:r>
    </w:p>
    <w:p>
      <w:r>
        <w:t>L'Algérie, compte plus de 250 zones humides dont une cinquantaine sontclassées sur le plan international pour leurs importances et le rôle qu'elles jouentsur le plan écologique. Ils sont aussi des places privilégiées à des dizaines de milliersd'oiseaux d'eau de di?érentes espèces pour y hiverner ou faire une halte temporair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