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Essais d’isolement et d’identification des souches bactériennes à pouvoir auto-épurateur vis-à vis des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Feknous; Nesrine/ Branes, Zidane/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croissance/ bactéries hydrocarbonoclastes/ biodégradation/ </w:t>
            </w:r>
          </w:p>
        </w:tc>
      </w:tr>
    </w:tbl>
    <w:p>
      <w:pPr>
        <w:pStyle w:val="Heading3"/>
      </w:pPr>
      <w:r>
        <w:t>Résumé :</w:t>
      </w:r>
    </w:p>
    <w:p>
      <w:r>
        <w:t xml:space="preserve">Le littoral algérien est exposé à plusieurs types de pollution, y compris celle des hydrocarbures. Cet environnement riche en huile pourrait être la source de la prolifération des bactéries hydrocarbonoclastes. L'objectif de l'étude était d'isoler et d'identifier les souches bactériennes indigènes des eaux marines de deux ports de la côte Est et de tester leur croissance en présence d'hydrocarbures avec et sans biostimulation tout au long de la prise d'azote et de phosphate. Cinquante-trois souches bactériennes ont été identifiées, dont quatre ont été sélectionnées pour effectuer les tests de croissance.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