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des sols et des eaux de la plaine de bounamoussa et essais de dépollution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Zaoui; Lilia/ Benslama, Mohamed/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les eaux superficielles/ les sols agricoles/ l'oued bounamoussa/ </w:t>
            </w:r>
          </w:p>
        </w:tc>
      </w:tr>
    </w:tbl>
    <w:p>
      <w:pPr>
        <w:pStyle w:val="Heading3"/>
      </w:pPr>
      <w:r>
        <w:t>Résumé :</w:t>
      </w:r>
    </w:p>
    <w:p>
      <w:r>
        <w:t xml:space="preserve">L'oued Bounamoussa situé dans l'extrême Nord-Est Algérien, représente un réservoir naturel remarquable d'eaux superficielles et souterraines de la région d'El Tarf par son apport annuel important et ce malgré la variabilité pluviométrique d'une année à une autre. Dans cet espace, l'eau représente le facteur moteur du développement industriel, touristique, agricole, urbain et rural de la région, nécessitant sa mobilisation en quantités énormes. En effet, on y trouve une superficie importante des terres agricoles, qui occupe la majorité de la surface de la région, un principal réservoir d'eau superficielle, le barrage de la Cheffia. A cet effet, la chimie des eaux superficielles et du sol dans la plaine de Bounamoussa est souvent influencée par l'effet de la dissolution des formations géologiques, les rejets industriels et surtout l'activité agricole.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