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résistance des bacilles à Gram négatif aux antibiotiques " Bactéries isolées dans l'est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Mellouk; Fatma Zohra/ Boutefnouchet, Nafissa/ </w:t>
            </w:r>
          </w:p>
        </w:tc>
      </w:tr>
      <w:tr>
        <w:trPr>
          <w:trHeight w:val="567"/>
        </w:trPr>
        <w:tc>
          <w:tcPr>
            <w:tcW w:type="dxa" w:w="3000"/>
          </w:tcPr>
          <w:p>
            <w:r>
              <w:t>Nombre de Pages</w:t>
            </w:r>
          </w:p>
        </w:tc>
        <w:tc>
          <w:tcPr>
            <w:tcW w:type="dxa" w:w="7000"/>
          </w:tcPr>
          <w:p>
            <w:r>
              <w:t>196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Résistance aux antibiotiques/ bacilles à gram négatif/ carbapénemase/ </w:t>
            </w:r>
          </w:p>
        </w:tc>
      </w:tr>
    </w:tbl>
    <w:p>
      <w:pPr>
        <w:pStyle w:val="Heading3"/>
      </w:pPr>
      <w:r>
        <w:t>Résumé :</w:t>
      </w:r>
    </w:p>
    <w:p>
      <w:r>
        <w:t>La résistance aux antibiotiques chez  les bacilles à Gram négatif  reste un problème important en Algérie  et  permet de devenir une préoccupation clinique  majeure à l'avenir, par conséquent  la surveillance locale continue de la résistance aux antibiotiques est cruciale. L'objectif de cette étude est d'évaluer  l'apparition  et de déterminer le support génétique de la  résistance  aux antibiotiques chez les bacilles à Gram négatif isolés en milieu hospitalier dans  trois villes de l'est Algérien :Annaba , Skikda et Guelma . 181267/17 181268/17 181269/17 181270/017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