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l'estimateur de bayes sous différentes fonctions de perte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Boudjerda; Khawla/ Chadli, 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bayésienne/ risques a posteriori/ étude de monté carlo/ la loi de rayleigh/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 nous intéressons essentiellement à deux modèles: le modèle de Weibull tronqué et le modèle de Rayleigh. Les distributions tronquées surviennent quant une variable aléatoire X suit une distribution de probabilité connue, mais   une portion de l'espace d'échantillon  ne peut pas être observée. Si les valeurs de  la variable aléatoire sont limitées à droite par une valeur T, on dit que la distribution est tronquée à droite. La distribution tronquée a laquelle on s'intéresse est la distribution de Weibull tronquée a droite; cette dernière a la particularité d'avoir un taux de panne en baignoire. La distribution de Rayleigh trouve son application dans de nombreux  domaines et en particulier en épidémiologie. 181187/17 181188/17 181189/17 181190/17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