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l'estimateur de bayes sous différentes fonctions de perte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Boudjerda; Khawla/ Chadli,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bayésienne/ risques a posteriori/ étude de monté carlo/ la loi de rayleigh/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 nous intéressons essentiellement à deux modèles: le modèle de Weibull tronqué et le modèle de Rayleigh. Les distributions tronquées surviennent quant une variable aléatoire X suit une distribution de probabilité connue, mais   une portion de l'espace d'échantillon  ne peut pas être observée. Si les valeurs de  la variable aléatoire sont limitées à droite par une valeur T, on dit que la distribution est tronquée à droite. La distribution tronquée a laquelle on s'intéresse est la distribution de Weibull tronquée a droite; cette dernière a la particularité d'avoir un taux de panne en baignoire. La distribution de Rayleigh trouve son application dans de nombreux  domaines et en particulier en épidémiologie. 181187/17 181188/17 181189/17 181190/17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