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des effets de la basse dimensionnalité sur les paramètres energétiques et acoustiques de nano-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; Linda/ Doghmane, Abdel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 semiconducteurs/ clusters/ nanofils/ énergie de liais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a pour objectif d'étudier et modéliser les effets de la basse dimensionnalité sur les paramètres énergétiques et acoustiques de nano-semiconducteurs. Elle est constituée essentiellement de deux parties distinctes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