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s effets de la basse dimensionnalité sur les paramètres energétiques et acoustiques de nano-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; Linda/ Doghmane, Abdel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 semiconducteurs/ clusters/ nanofils/ énergie de liais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a pour objectif d'étudier et modéliser les effets de la basse dimensionnalité sur les paramètres énergétiques et acoustiques de nano-semiconducteurs. Elle est constituée essentiellement de deux parties distincte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