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antioxydant sur les altérations neuro comportementales et biochimiques chez le rat mâle diabétique stressé de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Bensaoula; Doria Amina/ Tahraoui, Abdelkrim/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diabete/ stress oxydatif/ troubles cognitifs/ </w:t>
            </w:r>
          </w:p>
        </w:tc>
      </w:tr>
    </w:tbl>
    <w:p>
      <w:pPr>
        <w:pStyle w:val="Heading3"/>
      </w:pPr>
      <w:r>
        <w:t>Résumé :</w:t>
      </w:r>
    </w:p>
    <w:p>
      <w:r>
        <w:t>Le diabète peut avoir un impact sur la santé du patient à court ou à long terme. Le retentissement de la maladie diabétique peut être soit  d'ordre physique (atteinte des organes cibles) ou bien psycho-social (troubles du comportement, angoisse, voire même dépression). Partant des données les plus récentes sur le diabète et les troubles neurocomportementaux, l'ensemble de la communauté scientifique s'accorde pour dire que, les sujets  diabétiques  sont plus exposés à une souffrance morale, pouvant  les conduire à la dépression. Aujourd'hui il, y a suffisamment de données scientifiques, permettant d'appuyer l'existence d'une relation entre le diabète d'un côté et les affections neuropsychiatriques de l'autre, de façon bidirectionnelle.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