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composition biochimique de la chataigne d' eau douce du lac oubeira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Sahli; Mohamed/ Boutebba, Aissa/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protéine/ lac oubeira/ trapa natans/ châtaigne d'eau douce/ </w:t>
            </w:r>
          </w:p>
        </w:tc>
      </w:tr>
    </w:tbl>
    <w:p>
      <w:pPr>
        <w:pStyle w:val="Heading3"/>
      </w:pPr>
      <w:r>
        <w:t>Résumé :</w:t>
      </w:r>
    </w:p>
    <w:p>
      <w:r>
        <w:t>Les graines de la châtaigne d'eau Trapa natans L. sont récoltées, séchées à température ambiante puis broyées. Il est obtenu une farine très fine. Il est déterminé la composition biochimique et la mise au point d'une gélose nutritive. La teneur en protéines totales est établie par la méthode Kjeldahl (% N×6,25). L'extraction des différents groupes protéiques est réalisée selon le fractionnement sélectif d'Osborne.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