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dynamique d'un palier compliant lubrifié à l'aide de fluide réfrigérant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Bouchehit; Bachir/ Ali Rachedi, Mahieddine/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ecoulement diphasique/ palier à gaz/ turbulence/ </w:t>
            </w:r>
          </w:p>
        </w:tc>
      </w:tr>
    </w:tbl>
    <w:p>
      <w:pPr>
        <w:pStyle w:val="Heading3"/>
      </w:pPr>
      <w:r>
        <w:t>Résumé :</w:t>
      </w:r>
    </w:p>
    <w:p>
      <w:r>
        <w:t xml:space="preserve">Depuis plusieurs années à nos jours, les paliers à gaz sont utilisés avec succès sur une large gamme de turbo-machines. Certains de ces systèmes sont utilisés dans des environnements de contrôle de l'environnement par gaz réfrigérant. Dans ce travail, nous présentons un modèle théorique et numérique qui tient compte de la transition du lubrifiant vapeur / liquide, la transition de l'écoulement laminaire / turbulent et les variations 3D de la viscosité et de la température dans le fluide et les solides pour les deux situations statiques et dynamiques.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