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non linéaire des moteurs synchrones à aimants permanents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Adel/ Belhamra, Ali/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machine synchrone/ commande vectorielle/ commande non linéaire/ </w:t>
            </w:r>
          </w:p>
        </w:tc>
      </w:tr>
    </w:tbl>
    <w:p>
      <w:pPr>
        <w:pStyle w:val="Heading3"/>
      </w:pPr>
      <w:r>
        <w:t>Résumé :</w:t>
      </w:r>
    </w:p>
    <w:p>
      <w:r>
        <w:t>Les systèmes d'entrainement électromécanique à base de machines synchrones à aimants permanents sont généralement commandés par plusieurs techniques parmi lesquelles on distingue, la commande non linéaire et la commande vectorielle. dans le souci d'améliorer les performances dynamiques et statiques d'un entrainement électromécanique multi-masses, nous nous intéressons à l'étude des deux commandes indiquées précédemment.181031/17 181032/17 181033/17 181034/17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