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effets des ondes électromagnétiques sur la santé humaine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Saili; Linda/ Bouslama, Zihad/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wifi/ la fréquence cardiaque/ la pression artérielle (pa)/ électrocardiogramme (ecg)/ </w:t>
            </w:r>
          </w:p>
        </w:tc>
      </w:tr>
    </w:tbl>
    <w:p>
      <w:pPr>
        <w:pStyle w:val="Heading3"/>
      </w:pPr>
      <w:r>
        <w:t>Résumé :</w:t>
      </w:r>
    </w:p>
    <w:p>
      <w:r>
        <w:t>De nombreuses craintes sont aujourd'hui formulées quant à l'innocuité des champs de radiofréquences sur la santé.Ce travail de thèse porte à étudier les effets d'une exposition aigue aux ondes WIFI (2,45 GHz/ 1h) sur l'activité cardiaque, la pression artérielle, la glycémie et l'efficacité de certains médicaments. Dans la première partie, nous avons étudié les changements de l'électrocardiogramme et la pression artérielle sous une exposition aigue aux RF (2,45 GHz/ 1h) chez des lapins Albinos.Les antennes de WIFI ont été placées à 25 cm côté droit près du coeur. 181043/17 181044/17 181045/17 181046/17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