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identification des actinomycètes et extraction d'une molécule antifongique (cas des eaux et sédiments du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Ayari; Adel/ Gacemi kirane, Djamila/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actinomycètes/ activité antifongique/ streptomyces/ </w:t>
            </w:r>
          </w:p>
        </w:tc>
      </w:tr>
    </w:tbl>
    <w:p>
      <w:pPr>
        <w:pStyle w:val="Heading3"/>
      </w:pPr>
      <w:r>
        <w:t>Résumé :</w:t>
      </w:r>
    </w:p>
    <w:p>
      <w:r>
        <w:t>L'objectif de ce travail s'inscrit dans le cadre de la recherche et le criblage des actinomycètes capables de synthétiser des substances antifongiques. Pour cela, 49 isolats ont été obtenus à partir des eaux et sédiments du Lac Oubeira. Leurs caractéristiques morphologiques, culturales, biochimiques et physiologiques les rapprochent aux actinomycètes. Les analyses des séquences nucléotidiques des gènes ARNr 16S, ont permis d'affecter les 8 souches : S3, AA13, S13, S21, S25, S31, S40 et S72 au genre Streptomyces. 180163/17 180164/17 180165/17 180166/17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