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modelisation de la relation entre l' activite et l' enantioselectivite des lipases et la nature du solvant organique par une approche multiparametrique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Benamia; Fatiha/ Djeghaba, Zeineddine/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activité/ effet de solvant/ enantiosélectivité/ </w:t>
            </w:r>
          </w:p>
        </w:tc>
      </w:tr>
    </w:tbl>
    <w:p>
      <w:pPr>
        <w:pStyle w:val="Heading3"/>
      </w:pPr>
      <w:r>
        <w:t>Résumé :</w:t>
      </w:r>
    </w:p>
    <w:p>
      <w:r>
        <w:t>Les biotransformations font partie actuellement des méthodologies auxquelles fait appel le chimiste pour accéder à de nombreux composés relevant de domaines divers et variés. Parmi les biocatalyseurs, les lipases (EC 3.1.1.3) sont les plus largement utilisées et ce, en raison de leur faible coût, de leur facilité de manipulation et ne nécessite pas de co-facteur pour leur fonctionnement. Un autre avantage, est celui de leur compatibilité avec les solvants organique. 181079/17 181080/17 181081/17 181082/17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