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synthèse d'hybrides issus de l'ellipticine et des anthracyclines dans le cadre des stratégies de chimiothérapie anticancéreuse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Bengaouer; Mohamed larbi/ Boukhari, 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tin tetrachloride/ trifluoroaceticanhydride/ tramolecular cyclisation/ </w:t>
            </w:r>
          </w:p>
        </w:tc>
      </w:tr>
    </w:tbl>
    <w:p>
      <w:pPr>
        <w:pStyle w:val="Heading3"/>
      </w:pPr>
      <w:r>
        <w:t>Résumé :</w:t>
      </w:r>
    </w:p>
    <w:p>
      <w:r>
        <w:t xml:space="preserve">Dans la chimie des substances naturelles à activité anti tumorale, une place toute particulière est tenue par deux grandes séries chimiques.les anthracyclines qui constituent une classe originale d'agents anti tumoraux dont les principaux représentants sont la daunomycineetl'épirubicine, (anthracyclines de deuxième génération) et qui englobent actuellement la base de la chimiothérapie anticancéreuse, et les alcaloïdes dérivants du noyau pyrido [4,3b] carbazole qui ont montré une activité anti tumorale intéressante et dont les principaux représentants sont l'ellipticine, 9-méthoxy- ellipticine et  9 l'hydroxy-ellipticine.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