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ab-initio des différentes propriétés structurales, élastiques, électroniques et thermodynamiques des composés ternaires (hydrures).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Benlamari; Souad/ Amara korba, Sabiha/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elèctronique/ dft/ propriété structurale/ fp lapw/ </w:t>
            </w:r>
          </w:p>
        </w:tc>
      </w:tr>
    </w:tbl>
    <w:p>
      <w:pPr>
        <w:pStyle w:val="Heading3"/>
      </w:pPr>
      <w:r>
        <w:t>Résumé :</w:t>
      </w:r>
    </w:p>
    <w:p>
      <w:r>
        <w:t>Ce manuscrit présente une étude théorique ab-initio qui a été effectuée en utilisant la méthode linéaire des ondes planes augmentées et linéarisées (FP-LAPW) basée sur la théorie de la fonctionnelle de la densité (DFT) pour déterminer les propriétés structurales, électroniques, élastiques et thermiques des composés Hydrures CaNiH3, SrLiH3 et SrPdH3. Les propriétés structurales, élastiques et électroniques ont été calculées avec les deux approximations pour l'énergie d'échange-corrélation : l'approximation du gradient généralisé (GGA) et l'approximation de la densité locale (LDA). Les propriétés thermiques ont été explorées avec le programme GIBBS qu'est basé sur le modèle quasi-harmonique de Debye. Les états d'équilibres des composés étudiés ont été optimisés à T = 0 K pour des pressions entre 0 et 8 GPa.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