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propriétés structurales, électroniques et thermodynamiques des alliages Ag1-xCuxCl, Ag1-xCuxBr et Ag1-xCuxI</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Boukhtouta; Moufida/ Meradji, Hocine/ </w:t>
            </w:r>
          </w:p>
        </w:tc>
      </w:tr>
      <w:tr>
        <w:trPr>
          <w:trHeight w:val="567"/>
        </w:trPr>
        <w:tc>
          <w:tcPr>
            <w:tcW w:type="dxa" w:w="3000"/>
          </w:tcPr>
          <w:p>
            <w:r>
              <w:t>Nombre de Pages</w:t>
            </w:r>
          </w:p>
        </w:tc>
        <w:tc>
          <w:tcPr>
            <w:tcW w:type="dxa" w:w="7000"/>
          </w:tcPr>
          <w:p>
            <w:r>
              <w:t>109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dft/ fp lapw/ méthode ab inito/ halogénures d'argent/ halogénures de cuivre/ </w:t>
            </w:r>
          </w:p>
        </w:tc>
      </w:tr>
    </w:tbl>
    <w:p>
      <w:pPr>
        <w:pStyle w:val="Heading3"/>
      </w:pPr>
      <w:r>
        <w:t>Résumé :</w:t>
      </w:r>
    </w:p>
    <w:p>
      <w:r>
        <w:t>Des calculs de premier principe ont été utilisés afin d'étudier les propriétés structurales, électroniques et thermiques des alliages ternaires Ag1-xCuxCl, Ag1-xCuxBr et Ag1-xCuxI, la méthode utilisée est celle des ondes planes augmentées et linéarisées (FP-LAPW) dans le cadre de la théorie de la fonctionnelle de la densité (DFT). Dans cette approche, l'approximation du gradient généralisé de Wu-Cohen a été utilisée pour le calcul du potentiel d'échange et corrélation. Cependant, l'approximation mBJ a été utilisée dans le calcul des structures de bandes. Premièrement, plusieurs phases ont été considérées dans le but de confirmer la phase la plus stableadoptée par chaque composé binaire et prédire la pression de transition entre les différentes phases. Pour les alliages, la phase la plus stable a été déterminée pour chaque concentration. En outre, nous avons étudié les structures de bande des phases stables des composés binaires et alliages qui révèlent la présence d'un comportement semi-conducteur. La dépendance en composition du paramètre du réseau, du module de compressibilité  et du gap énergétique a été analysée.Le paramètre du réseau pour les alliages présente une faible déviation par rapport à la loi de Vegard. Une large déviation du module de compressibilité par rapport à la loi de dépendance linéaire (LCD) a été observée.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