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réaction des hétérocycles à 3 chainons précurseurs de composés pyrroliques et oxazoliques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Blida; Rafika/ Boukhari, Abbes/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régiospécifique/ diastéréoisomère/ époxy-styrène/ acide de Lewis/ </w:t>
            </w:r>
          </w:p>
        </w:tc>
      </w:tr>
    </w:tbl>
    <w:p>
      <w:pPr>
        <w:pStyle w:val="Heading3"/>
      </w:pPr>
      <w:r>
        <w:t>Résumé :</w:t>
      </w:r>
    </w:p>
    <w:p>
      <w:r>
        <w:t>Dans la première partie de notre travail, nous avons effectué la synthèse des 1, 2-aminoalcools à partir de la réduction catalytique des acides aminés. Nous avons obtenu deux types d'aminoalcools, dont l'un possède une fonction amine primaire et l'autre une fonction amine secondaire. L'ouverture de l'époxy-styrène racémique par la (S) -benzylméthyl-amine en milieu aqueux conduit à la formation majoritaire du produit issu de l'attaque du nucléophile du côté le moins encombré.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