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tensions de sorties des onduleurs par l'utilisation des nouvelles topologies et techniques de commandes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Zaamouche; Fares/ Saad, Salah/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harmoniques/ modulation discontinus/ onduleur à mli/ </w:t>
            </w:r>
          </w:p>
        </w:tc>
      </w:tr>
    </w:tbl>
    <w:p>
      <w:pPr>
        <w:pStyle w:val="Heading3"/>
      </w:pPr>
      <w:r>
        <w:t>Résumé :</w:t>
      </w:r>
    </w:p>
    <w:p>
      <w:r>
        <w:t>Dans cette thèse, les résultats expérimentaux et de simulation de l'onduleur triphasé de tension commandé par la technique de modulation de largeur d'impulsion discontinue appelée mlid-3 en anglais dpwm-3 correspondant à quatre saturations de 30° sont présentés. cette technique est proposée pour remédier aux inconvénients de la technique de la modulation vectorielle (svpwm) principalement la fréquence de modulation élevée et une augmentation des pertes de commutation de l'onduleur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