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Effets des décharges partielles sur les propriétés diélectriques des isolants dans la fabrication des câbles électriques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Larba; Mohamed/ Belhamra, Ali/ </w:t>
            </w:r>
          </w:p>
        </w:tc>
      </w:tr>
      <w:tr>
        <w:trPr>
          <w:trHeight w:val="567"/>
        </w:trPr>
        <w:tc>
          <w:tcPr>
            <w:tcW w:type="dxa" w:w="3000"/>
          </w:tcPr>
          <w:p>
            <w:r>
              <w:t>Nombre de Pages</w:t>
            </w:r>
          </w:p>
        </w:tc>
        <w:tc>
          <w:tcPr>
            <w:tcW w:type="dxa" w:w="7000"/>
          </w:tcPr>
          <w:p>
            <w:r>
              <w:t>107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polyéthylène réticulé chimiquement (prc), décharge partielle, courant de décharge/ </w:t>
            </w:r>
          </w:p>
        </w:tc>
      </w:tr>
    </w:tbl>
    <w:p>
      <w:pPr>
        <w:pStyle w:val="Heading3"/>
      </w:pPr>
      <w:r>
        <w:t>Résumé :</w:t>
      </w:r>
    </w:p>
    <w:p>
      <w:r>
        <w:t>Ce travail présente les résultats d'une étude expérimentale sur les effets des décharges partielles notamment les décharges surfaciques sur les propriétés électriques et diélectriques du polyéthylène réticulé chimiquement (PRC), au long terme ces décharges constituent une cause significative du vieillissement des isolants. En effet, dans une première partie nous présentons les caractéristiques des impulsions du courant de décharge et la charge associée dans une configuration d'électrode pointe plan. La deuxième partie concerne le suivi de l'évolution des propriétés diélectriques (facteur de pertes diélectriques, permittivité relative, indice de pertes diélectrique et la résistivité transversale) du (PRC) soumis à un vieillissement électrique accéléré. La caractérisation des changements causés par la contrainte électrique au niveau de la structure moléculaire du matériau a fait l'objet de la troisième partie de notre travail.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