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patrimoniale de la médina d'Annaba. L'identité urbaine comme démarche.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Salah-Salah; Hana/ Université  Badji Mokhtar/ Spiga, Sassia/ </w:t>
            </w:r>
          </w:p>
        </w:tc>
      </w:tr>
      <w:tr>
        <w:trPr>
          <w:trHeight w:val="567"/>
        </w:trPr>
        <w:tc>
          <w:tcPr>
            <w:tcW w:type="dxa" w:w="3000"/>
          </w:tcPr>
          <w:p>
            <w:r>
              <w:t>Nombre de Pages</w:t>
            </w:r>
          </w:p>
        </w:tc>
        <w:tc>
          <w:tcPr>
            <w:tcW w:type="dxa" w:w="7000"/>
          </w:tcPr>
          <w:p>
            <w:r>
              <w:t>349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Médina, identité, forme urbaine, architecture domestique/ </w:t>
            </w:r>
          </w:p>
        </w:tc>
      </w:tr>
    </w:tbl>
    <w:p>
      <w:pPr>
        <w:pStyle w:val="Heading3"/>
      </w:pPr>
      <w:r>
        <w:t>Résumé :</w:t>
      </w:r>
    </w:p>
    <w:p>
      <w:r>
        <w:t xml:space="preserve">Ce travail est une contribution à une évaluation identitaire de la médina d'Annaba afin d'en détecter les référents matériels (architecturaux et urbains) et immatériels (culturels, cultuels, rituels, sociales…etc) et la manière par laquelle ces référents doivent être mobilisés pour réhabiliter son image urbaine qui sombre dans le déclin. C'est à partir de ce que nous appelons, dans la présente recherche,  un " investissement identitaire " qu'il sera possible d'engager une dynamique de patrimonialisation susceptible de conduire à une véritable sauvegarde de ce lieu de mémoire.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