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Profils sémantique des utilisateurs pour l' adaptation des services, applications aux si ubiquitaires.</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Bourougaa Tria; Salima/ Mokhati, Farid/ </w:t>
            </w:r>
          </w:p>
        </w:tc>
      </w:tr>
      <w:tr>
        <w:trPr>
          <w:trHeight w:val="567"/>
        </w:trPr>
        <w:tc>
          <w:tcPr>
            <w:tcW w:type="dxa" w:w="3000"/>
          </w:tcPr>
          <w:p>
            <w:r>
              <w:t>Nombre de Pages</w:t>
            </w:r>
          </w:p>
        </w:tc>
        <w:tc>
          <w:tcPr>
            <w:tcW w:type="dxa" w:w="7000"/>
          </w:tcPr>
          <w:p>
            <w:r>
              <w:t>153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anglais et arabe</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2016</w:t>
            </w:r>
          </w:p>
        </w:tc>
      </w:tr>
      <w:tr>
        <w:trPr>
          <w:trHeight w:val="567"/>
        </w:trPr>
        <w:tc>
          <w:tcPr>
            <w:tcW w:type="dxa" w:w="3000"/>
          </w:tcPr>
          <w:p>
            <w:r>
              <w:t>Sujet(s)</w:t>
            </w:r>
          </w:p>
        </w:tc>
        <w:tc>
          <w:tcPr>
            <w:tcW w:type="dxa" w:w="7000"/>
          </w:tcPr>
          <w:p>
            <w:r>
              <w:t xml:space="preserve">contexte d'utilisation/ profil de l'utilisateur/ système d'information sur le web/ </w:t>
            </w:r>
          </w:p>
        </w:tc>
      </w:tr>
    </w:tbl>
    <w:p>
      <w:pPr>
        <w:pStyle w:val="Heading3"/>
      </w:pPr>
      <w:r>
        <w:t>Résumé :</w:t>
      </w:r>
    </w:p>
    <w:p>
      <w:r>
        <w:t xml:space="preserve">Dans la dernière décennie, l'informatique ubiquitaire (IU) est devenue une aspiration de la communauté informatique. Aujourd'hui, sa vulgarisation est importante qu'il est de plus en plus impossible de la distinguer de l'ordre du jour global de la recherche informatique.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