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 defauts d' une generatrice asynchrone dans une chaine de conversion d' energie eolienne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Issam/ Omeiri, Amar/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chaine éolienne/ diagnostic de défauts/ génératrice asynchrone auto excitée/ </w:t>
            </w:r>
          </w:p>
        </w:tc>
      </w:tr>
    </w:tbl>
    <w:p>
      <w:pPr>
        <w:pStyle w:val="Heading3"/>
      </w:pPr>
      <w:r>
        <w:t>Résumé :</w:t>
      </w:r>
    </w:p>
    <w:p>
      <w:r>
        <w:t>La tendance mondiale à développer des énergies renouvelables a conduite à un accroissement important des parcs éoliens au cours des 20 dernières années. Cependant, vu que les turbines éoliennes sont coûteuses et leur fiabilité est une question très importante, une demande croissante de rentabilité, de fiabilité et de sécurité dans les turbines éoliennes, qui peuvent faire l'objet de pannes ou de dysfonctionnement à un moment donné de leur temps d'utilisation, a conduit à des nouvelles méthodes de surveillance et de commande. D'un autre part, car les génératrices à courants alternatifs utilisées dans les systèmes éoliens qui sont en grande majorité des génératrices asynchrones représentent une partie très importante dans les chaînes éoliennes, un intérêt particulier est porté dans cette thèse à l'analyse et le diagnostic de quelques défauts qu'ils peuvent apparaître dans les machines asynchrones tant au niveau du stator que du rotor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