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supplémentation en zinc sur le statut du zinc  et des aspects biochimiques chez des rats sains et diabétiques nourris avec un régime alimentaire riche en cuivre et calcium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Derouiche; Samir/ Kechrid, Zine/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diabete/ rats/ zinc/ alloxan/ phosphatase alcaline/ </w:t>
            </w:r>
          </w:p>
        </w:tc>
      </w:tr>
    </w:tbl>
    <w:p>
      <w:pPr>
        <w:pStyle w:val="Heading3"/>
      </w:pPr>
      <w:r>
        <w:t>Résumé :</w:t>
      </w:r>
    </w:p>
    <w:p>
      <w:r>
        <w:t>Le but de ce travail était d'étudier l'effet de la supplémentation en zinc sur le statut de zinc, l'activité de certains enzymes à zinc et le métabolisme des glucides, lipides et protéines chez  des rats sains et diabétiques albinos (Wistar) nourris avec un régime riche en cuivre ou en calcium. Ce travail est divisé en deux parties, la première est pour 60 rats répartis en six groupes (n=10). Le premier et le quatrième groupe ont servi de témoin sains et diabétiques. Le deuxième, troisième, cinquième et sixième groupe sont sert  de  sain cuivre, sain cuivre + zinc, diabétique cuivre et diabétique cuivre + zinc respectivement.  Pour  la deuxième partie (40 rats), les deux témoins, sains et diabétiques, ont été réutilisés en plus d'autres groupes, sain calcium, sain calcium + zinc, diabétique calcium et diabétique calcium +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