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modélisation statistique de l'usinabilité des matériaux trempés et non trempés en perçage.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Mokas; Nacer/ Boulanouar, Lakhdar/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rugosité/ usinabilité/ perçage/ acier rapide/ </w:t>
            </w:r>
          </w:p>
        </w:tc>
      </w:tr>
    </w:tbl>
    <w:p>
      <w:pPr>
        <w:pStyle w:val="Heading3"/>
      </w:pPr>
      <w:r>
        <w:t>Résumé :</w:t>
      </w:r>
    </w:p>
    <w:p>
      <w:r>
        <w:t xml:space="preserve">L'objectif de cette étude est la détermination de l'usinabilité de   l'acier C18 avant et après trempe, lors des opérations de perçage. Pour atteindre cet objectif, nous lui avons fait subir un recuit d'homogénéisation puis une trempe à 900°C suivie d'un revenu. Des opérations de perçage ont été réalisées à l'aide de forets hélicoïdaux en acier rapide de différents diamètres. La longueur du perçage est d'environ 60 mm en présence d'une lubrification abondante et un cycle de débourrage adopté.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