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facteurs du dépérissement du chêne-liège dans les subéraies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Adjami hachmi rachdi yasmine/ Ouakid, 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nord est algérien/ chêne liège/ subéraie/ dépérissement/ </w:t>
            </w:r>
          </w:p>
        </w:tc>
      </w:tr>
    </w:tbl>
    <w:p>
      <w:pPr>
        <w:pStyle w:val="Heading3"/>
      </w:pPr>
      <w:r>
        <w:t>Résumé :</w:t>
      </w:r>
    </w:p>
    <w:p>
      <w:r>
        <w:t>Des phénomènes d'une ampleur inhabituelle de déclin des forêts ont étéobservés ces dernières années en même temps qu'une augmentation générale de l'incidence de divers agents biotiques. En Algérie ce phénomène a touché particulièrement les forêts de chênes lièges(Quercus suber) qui a induit une réduction de son aire de répartition.Dans cet axe nous nous sommes intéressés à étudier l'état sanitaire des subéraies de Nord-Est Algérien pourmieux connaître les facteurs associés à ce déclin ainsi que leurs nombreuses et complexes interactions.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