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bioécologique, biogéographique et physiologique des Myriapodes dans l'Est Algérien. Impact d'un régulateur de croissance le RH-0345 sur le cycle reproducteur de Scolopendra morsitans (Myriapoda, Chilopoda)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Alima/ Daas maamcha, O./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nord est algérien/ Myriapodes/ scolopendramorsitans/ </w:t>
            </w:r>
          </w:p>
        </w:tc>
      </w:tr>
    </w:tbl>
    <w:p>
      <w:pPr>
        <w:pStyle w:val="Heading3"/>
      </w:pPr>
      <w:r>
        <w:t>Résumé :</w:t>
      </w:r>
    </w:p>
    <w:p>
      <w:r>
        <w:t>Aujourd'hui,  on constate une dégradation de plus en plus importante de  la qualité de nos écosystèmes, ce qui semble engendré par une pollution  massive et anarchique,  cette pollution semble affecter tous les compartiments de l'écosystème.  Le sol est une ressource essentielle pour les sociétés humaines. Cependant, les activités anthropiques peuvent entraîner des changements dans les caractéristiques physico-chimiques des sols, et affecter son évolution morphologique et biologique.  Les myriapodes sont considérés comme une faune édaphique bénéfique qui compte en son sein des saprophages et des prédateurs.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