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de quelques proprietes (cteH, S, Pv, Koc(w)) controlant l' evolution dans l' environnement d' une serie d' herbicides.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Bouakkadia; Amel/ Messadi, Djelloul/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pesticides/ constante de Henry/ solubilité aqueuse/ </w:t>
            </w:r>
          </w:p>
        </w:tc>
      </w:tr>
    </w:tbl>
    <w:p>
      <w:pPr>
        <w:pStyle w:val="Heading3"/>
      </w:pPr>
      <w:r>
        <w:t>Résumé :</w:t>
      </w:r>
    </w:p>
    <w:p>
      <w:r>
        <w:t>Des modèles QSPR ont été développés pour la prédiction de cinq caractéristiques environnementales importantes d'un ensemble hétérogène de pesticides. Des approches basées sur la régression linéaire multiple (RLM), les moindres carrés partiels (PLS), les machines à vecteurs supports (SVM) et les réseaux de neurones artificiels (RNA), chaque fois en association avec une sélection des variables les plus importantes par algorithme génétique (GA), conduisent à des modèles de qualités différentes.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