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la rétention chromatographique et du facteur de bioaccumulation d'une série de  polluants toxiques (Pesticides; Polychlorobiphényles(PCBs); Hydrocarbures Aromatiques Polycycliques(HAPs).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Khadidja/ Messadi, Djelloul/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structure temps de rétention/ structure facteur de bioaccumulation/ structure indice de rétention/ </w:t>
            </w:r>
          </w:p>
        </w:tc>
      </w:tr>
    </w:tbl>
    <w:p>
      <w:pPr>
        <w:pStyle w:val="Heading3"/>
      </w:pPr>
      <w:r>
        <w:t>Résumé :</w:t>
      </w:r>
    </w:p>
    <w:p>
      <w:r>
        <w:t xml:space="preserve">Trois modéles : structure / temps de rétention ; structure /facteur de bioaccumulation  et structure / indice de rétention  ont été recherchés pour des composés toxiques (Pesticides, PCBs,HAPs ), tout en favorisant des   approches hybrides : algorithme génétique / régression linéaire multiple pour les temps et les indices de rétention et simple pour le facteur de bioaccumulation , Les trois  ensembles des données ont été divisés en deux sous-ensembles: un ensemble de calibrage  pour la construction du modèle  et un ensemble de test  selon  l'algorithme Kennard et Stone pour les deux variables temps de rétention et facteur de bioaccumulation et un choix aléatoire pour la variable indice de rétention des HAPs.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