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valeur nutritionnelle et effets de facteurs environnement aux chez les crustaces.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Ghorab; Ismahene/ KHEBBEB, M. E.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métabolites/ chair/ crustacés/ </w:t>
            </w:r>
          </w:p>
        </w:tc>
      </w:tr>
    </w:tbl>
    <w:p>
      <w:pPr>
        <w:pStyle w:val="Heading3"/>
      </w:pPr>
      <w:r>
        <w:t>Résumé :</w:t>
      </w:r>
    </w:p>
    <w:p>
      <w:r>
        <w:t>L'étude menée sur quatre espèces de crevettes (Penaeus kerathurus,Aristeus antennatus, Parapenaeus longirostris, Palaemon serratus), péchées au niveau de la baie de Jijel et commercialisées localement, a révélé un dimorphisme sexuel net chez les quatre espèces étudiées. L'analyse biochimique de la chair a montré des teneurs élevées de protéines face à des teneurs pauvres en lipides et en glucides. L'étude qualitative des protéines par électrophorèse a démontré les mêmes types de protéines chez toutes les espèces. L'analyse des acides aminés par HPLC a révélé la présence de certains acides aminés essentiels tels que l'histidine.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