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 Spinosad sur différents aspects physiologiques d’un ravageur à intérêt agronomique Tuta absoluta (Lepidoptera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Benchaabane boukhatem; Samia/ Aribi, Nadia/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toxicité/ stress oxydatif/ spinosad/ vitellogenèse/ tuta absoluta/ </w:t>
            </w:r>
          </w:p>
        </w:tc>
      </w:tr>
    </w:tbl>
    <w:p>
      <w:pPr>
        <w:pStyle w:val="Heading3"/>
      </w:pPr>
      <w:r>
        <w:t>Résumé :</w:t>
      </w:r>
    </w:p>
    <w:p>
      <w:r>
        <w:t>Le Spinosad, a été utilisé, in vivo, par application topique, sur des larves du dernier stade de Tuta absoluta Meyrick, 1917 et évalué au cours de deux générations successives (G0 et G1) dans le but de mettre en évidence des effets différés éventuels de la molécule. Dans un premier temps, des tests de toxicité ont été effectués afin de préciser les doses d’inhibition (DI), dont la DI50 qui a été retenue pour l’évaluation des effets du Spinosad sur les biomarqueurs de toxicité (GSTs, CAT et AChE), les principaux métabolites (glucides, protéines et lipides) et les marqueurs de reprotoxicité (vitellogénines et vitellines). 180763/16 180764/16 180765/16 180766/16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