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des souches de Escherichia coli résistantes aux antibiotiques  isolées  au centre hospitalier universitaire d'Annaba.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Sassi; Asma/ Chettibi, Houria/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escherichia coli/ new delhi metallo bêta lactamase/ multirésistance/ </w:t>
            </w:r>
          </w:p>
        </w:tc>
      </w:tr>
    </w:tbl>
    <w:p>
      <w:pPr>
        <w:pStyle w:val="Heading3"/>
      </w:pPr>
      <w:r>
        <w:t>Résumé :</w:t>
      </w:r>
    </w:p>
    <w:p>
      <w:r>
        <w:t>Escherichia coli est l'un des principaux agents pathogènes responsables des infections humaines. L'émergence de la résistance aux céphalosporines de troisième génération par la production des ك-lactamases à spectre étendu (BLSE) a conduit à une utilisation accrue des carbapénèmes. L'incidence croissante de la résistance aux carbapénèmes chez les entérobactéries est une préoccupation majeure dans le monde entier. 180743/16 180744/16 180745/16 180746/16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