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gestion intégrée des ressources en eau dans le bassin versant de la moyenne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Nabil/ Chaab, Salah/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gestion intégrée/ ressources en eau/ eau souterraine/ besoins en eau/ eau de surface/ </w:t>
            </w:r>
          </w:p>
        </w:tc>
      </w:tr>
    </w:tbl>
    <w:p>
      <w:pPr>
        <w:pStyle w:val="Heading3"/>
      </w:pPr>
      <w:r>
        <w:t>Résumé :</w:t>
      </w:r>
    </w:p>
    <w:p>
      <w:r>
        <w:t>Le but du travail est l'évaluation des ressources en eau  dans le bassin versant moyen de l'oued seybouse. l'analyse des différentes utilisations de l'eau nous conduit à la nécessité d'établir une gestion intégrée des ressources en eau pour permettre une exploitation rationnelle. une gestion durable des ressources en eau dépend fortement de l'évaluation des quantités et de la qualité des eaux qui sont destinées à l'alimentation en eau potable, à l'irrigation et à l'industrie.  180707/16  180708/16 180709/16 180710/16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