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Commande d'une Machine Asynchrone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Khammar; Fatma/ Debbache, Nasr eddine/ Universite Badji Mokhatar/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asynchrone/ réseau neuronal/ commande vectorielle à flux orienté/ </w:t>
            </w:r>
          </w:p>
        </w:tc>
      </w:tr>
    </w:tbl>
    <w:p>
      <w:pPr>
        <w:pStyle w:val="Heading3"/>
      </w:pPr>
      <w:r>
        <w:t>Résumé :</w:t>
      </w:r>
    </w:p>
    <w:p>
      <w:r>
        <w:t>La machine asynchrone est très utilisée dans les applications industrielles à cause de sa conception, sa robustesse et son coût qui est relativement faible par rapport aux autres machines. Pour obtenir une machine avec des performances semblables à la machine à courant continu, la commande vectorielle par orientation du flux est appliquée. Au moyen de l’étude de sensibilité, le régulateur classique PI appliqué à la commande de vitesse de la machine avec une simulation sous Matlab/Simulink a démontré que ce dernier ne donne pas une bonne robustesse. Pour remédier ce problème, on a remplacé ce régulateur par d’autres régulateurs basés sur les techniques de l’intelligence artificielle tels que les régulateurs flous, neuronaux et neuro-floue1180975-180978/17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