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Apport du statcom  et du sssc  static Synchronous series compensator) à l'amélioration du comportement des réseaux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 Adel/ Adjabi, Mohamed/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Bibliogr._réséme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puissance réactive/ sssc/ plan de tension/ </w:t>
            </w:r>
          </w:p>
        </w:tc>
      </w:tr>
    </w:tbl>
    <w:p>
      <w:pPr>
        <w:pStyle w:val="Heading3"/>
      </w:pPr>
      <w:r>
        <w:t>Résumé :</w:t>
      </w:r>
    </w:p>
    <w:p>
      <w:r>
        <w:t>Le maintien d'un plan de tension dans des systèmes de production et de transmission d'énergie électrique est l'une des contraintes les plus sévères et qui dépend de la balance  de la puissance réactive. Les systèmes  FACT ont de très bonnes  performances dynamique et transitoire et contribuent très fortement à la réponse aux perturbations les plus sévères observées aux points de raccordements des compensateurs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