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éléments d’alliage sur la formation de la structure et les propriétés mécaniques des fontes ADI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Boulifa; Mohammed Iliasse/ Hadji, Ali/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fonte GS/ fonte ADI/ ferrite bainitique/ ausferrite/ </w:t>
            </w:r>
          </w:p>
        </w:tc>
      </w:tr>
    </w:tbl>
    <w:p>
      <w:pPr>
        <w:pStyle w:val="Heading3"/>
      </w:pPr>
      <w:r>
        <w:t>Résumé :</w:t>
      </w:r>
    </w:p>
    <w:p>
      <w:r>
        <w:t xml:space="preserve">L’objectif de cette recherche s’inscrit dans l’optique de l’amélioration de la qualité et des propriétés d’exploitation de la fonte ADI et d’appréhender le rôle des éléments d’alliage sur l’évolution de sa microstructure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